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249</w:t>
      </w:r>
    </w:p>
    <w:p>
      <w:r>
        <w:t>Bundesgericht (BGE), 2019-06-25, FR</w:t>
      </w:r>
    </w:p>
    <w:p>
      <w:r>
        <w:rPr>
          <w:b/>
        </w:rPr>
        <w:t xml:space="preserve">Quelle: </w:t>
      </w:r>
      <w:r>
        <w:t>https://mcp.opencaselaw.ch/entscheid/bge_147 IV 249</w:t>
      </w:r>
    </w:p>
    <w:p>
      <w:r>
        <w:t>FR: ATF 147 IV 249</w:t>
      </w:r>
    </w:p>
    <w:p>
      <w:r>
        <w:t>IT: DTF 147 IV 249</w:t>
      </w:r>
    </w:p>
    <w:p>
      <w:pPr>
        <w:pStyle w:val="Heading2"/>
      </w:pPr>
      <w:r>
        <w:t>Regeste</w:t>
      </w:r>
    </w:p>
    <w:p>
      <w:r>
        <w:t>Regeste a Schwere Bedrängnis, grosse seelische Belastung und heftige Gemütsbewegung; Art. 48 lit. a Ziff. 2 und Art. 48 lit. c StGB. Abgrenzung dieser Strafmilderungsgründe untereinander (E. 2.1-2.3).</w:t>
      </w:r>
    </w:p>
    <w:p>
      <w:r>
        <w:t>Regeste b Mord, heftige Gemütsbewegung und grosse seelische Belastung; Art. 48 lit. c und Art. 112 StGB. Die für den Mord typische Skrupellosigkeit schliesst die Bejahung der Strafmilderungsgründe der heftigen Gemütsbewegung und der grossen seelischen Belastung aus (E. 2.5).</w:t>
      </w:r>
    </w:p>
    <w:p>
      <w:pPr>
        <w:pStyle w:val="Heading2"/>
      </w:pPr>
      <w:r>
        <w:t>Erwägungen</w:t>
      </w:r>
    </w:p>
    <w:p>
      <w:r>
        <w:rPr>
          <w:b/>
        </w:rPr>
        <w:t>E. 2</w:t>
      </w:r>
    </w:p>
    <w:p>
      <w:r>
        <w:t>Le recourant conteste la quotité de la sanction qui lui a été infligée. Dans un premier moyen, il reproche à la cour cantonale d'avoir violé les art. 48 CP et 29 al. 2 Cst., soit de n'avoir pas expliqué pourquoi le profond désarroi ou l'émotion violente ( art. 48 let . c CP) ne pouvaient être retenus, respectivement de n'avoir même pas évoqué la détresse profonde ( art. 48 let. a ch. 2 CP ).</w:t>
      </w:r>
    </w:p>
    <w:p>
      <w:r>
        <w:rPr>
          <w:b/>
        </w:rPr>
        <w:t>E. 2.1</w:t>
      </w:r>
    </w:p>
    <w:p>
      <w:r>
        <w:t>Selon la jurisprudence, il y a détresse profonde au sens de l' art. 48 let. a ch. 2 CP lorsque l'auteur est poussé à transgresser la loi pénale par une situation proche de l'état de nécessité, c'est-à-dire que, sous la pression d'une détresse particulièrement grave, il croit ne pouvoir trouver d'autre issue que la commission de l'infraction ( ATF 110 IV 9 consid. 2 p. 10; ATF 107 IV 94 consid. 4a p. 96; arrêts 6B_533/2019 du 3 juillet 2019 consid. 4.4; 6B_603/2018 du 7 juin 2019 consid. 3.3.1). En outre, le bénéfice de cette circonstance atténuante ne peut être accordé que si l'auteur a respecté une certaine proportionnalité entre les motifs qui le poussent à agir et l'importance du bien qu'il lèse ( ATF 110 IV 9 consid. 2 p. 10; ATF 107 IV 94 consid. 4c p. 97; arrêt 6B_825/2015 du 22 octobre 2015 consid. 1.4.2).</w:t>
      </w:r>
    </w:p>
    <w:p>
      <w:r>
        <w:rPr>
          <w:b/>
        </w:rPr>
        <w:t>E. 2.2</w:t>
      </w:r>
    </w:p>
    <w:p>
      <w:r>
        <w:t>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consid. 2a p. 203; arrêt 6B_600/2014 du 23 janvier 2015 consid. 3.1.1, non publié aux ATF 141 IV 61 ).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 ATF 107 IV 103 consid. 2b/bb p. 106). Ce n'est pas l'acte commis qui doit être excusable, mais l'état dans lequel se trouvait l'auteur ( ATF 119 IV 202 consid. 2a p. 204; ATF 108 IV 101 consid. 3a p. 101). Il faut en outre qu'il existe une certaine proportionnalité entre la provocation, d'une part, et la réaction de l'auteur, d'autre part (arrêts 6B_840/2017 du 17 mai 2018 consid. 2; 6B_607/2016 du 13 décembre 2016 consid. 3.2). BGE 147 IV 249 S. 252</w:t>
      </w:r>
    </w:p>
    <w:p>
      <w:r>
        <w:rPr>
          <w:b/>
        </w:rPr>
        <w:t>E. 2.3</w:t>
      </w:r>
    </w:p>
    <w:p>
      <w:r>
        <w:t>Le profond désarroi vise un état d'émotion qui mûrit progressivement pendant une longue période, qui couve pendant longtemps jusqu'à ce que l'auteur soit complètement désespéré et ne voie d'autre issue que d'agir ainsi qu'il le fait ( ATF 119 IV 202 consid. 2a p. 204; ATF 118 IV 233 consid. 2a p. 236). Il doit être rendu excusable par les circonstances ( ATF 119 IV 203 consid. 2a; ATF 118 IV 233 consid. 2a p. 236). Le plus souvent, il est rendu excusable par le comportement blâmable de la victime à l'égard de l'auteur, mais il peut aussi l'être par le comportement d'un tiers ou par des circonstances objectives ( ATF 119 V 202 consid. 2a p. 205; arrêt 6B_533/2019 du 3 juillet 2019 consid. 4.4.1).</w:t>
      </w:r>
    </w:p>
    <w:p>
      <w:r>
        <w:rPr>
          <w:b/>
        </w:rPr>
        <w:t>E. 2.4</w:t>
      </w:r>
    </w:p>
    <w:p>
      <w:r>
        <w:t>En l'espèce, la cour cantonale pouvait, sans arbitraire, écarter l'hypothèse d'une grande détresse psychique. En outre, indépendamment même de la manifeste disproportion entre le bien juridique qui aurait dû être lésé par l'infraction consommée (la vie de la victime) et les motifs de cette lésion, qui ressortissent plutôt au registre de la réaction à une blessure narcissique, d'une faible tolérance à la frustration et de la vengeance, on peine à comprendre en quoi, aux yeux du recourant, un homicide cruel aurait pu constituer une issue à sa situation matrimoniale et il ne s'en explique pas. Le moyen confine, dans cette mesure, à la témérité. Il suffit, dès lors, de rappeler, que le droit à une décision motivée déduit de l' art. 29 al. 2 Cst. n'impose pas au juge de discuter n'importe quel argument, mais qu'il peut se limiter à l'examen des questions décisives pour l'issue du litige ( ATF 142 II 154 consid. 4.2 p. 157; ATF 139 IV 179 consid. 2.2 p. 183).</w:t>
      </w:r>
    </w:p>
    <w:p>
      <w:r>
        <w:rPr>
          <w:b/>
        </w:rPr>
        <w:t>E. 2.5</w:t>
      </w:r>
    </w:p>
    <w:p>
      <w:r>
        <w:t>Quant à l'émotion violente et au profond désarroi, le recourant perd de vue que l'absence particulière de scrupules typique de l'assassinat ( art. 112 CP ) ne laisse aucune place à une modulation de la culpabilité qui serait justifiée par la prise en considération des affects, qui sont l'élément distinctif de l'homicide passionnel. Ces notions sont antinomiques (voir arrêt 6B_158/2009 du 1 er mai 2009 consid. 1.1; CHRISTIAN SCHWARZENEGGER, in Basler Kommentar, Strafrecht, vol. I, 4 e éd. 2019, n° 32 ad art. 112 CP ; HURTADO POZO/ILLÀNEZ, in Commentaire romand, Code pénal, 2017, n° 21 ad art. 113 CP ; TRECHSEL/THOMMEN, in Schweizerisches Strafgesetzbuch, Praxiskommentar, 3 e éd. 2018, n° 17 ad art. 48 CP ; DUPUIS ET AL., CP, Code pénal, 2 e éd. 2017, n° 19 ad art. 48 CP ). Il suffit, dès lors, de renvoyer à ce qui vient d'être exposé en relation avec le caractère appellatoire de la motivation du recours et quant à la qualification de l'homicide.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